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AC01" w14:textId="31C8F469" w:rsidR="00BF4833" w:rsidRPr="00C7181F" w:rsidRDefault="00BF4833" w:rsidP="00BF4833">
      <w:pPr>
        <w:keepLines/>
        <w:tabs>
          <w:tab w:val="right" w:pos="10440"/>
          <w:tab w:val="right" w:pos="13323"/>
        </w:tabs>
        <w:spacing w:before="60"/>
        <w:jc w:val="left"/>
        <w:rPr>
          <w:rFonts w:ascii="Arial" w:eastAsia="SimSun" w:hAnsi="Arial" w:cs="Arial"/>
          <w:b/>
          <w:sz w:val="24"/>
          <w:szCs w:val="24"/>
          <w:lang w:eastAsia="zh-CN"/>
        </w:rPr>
      </w:pPr>
      <w:bookmarkStart w:id="0" w:name="Title"/>
      <w:bookmarkStart w:id="1" w:name="DocumentFor"/>
      <w:bookmarkEnd w:id="0"/>
      <w:bookmarkEnd w:id="1"/>
      <w:r w:rsidRPr="00C7181F">
        <w:rPr>
          <w:rFonts w:ascii="Arial" w:eastAsia="MS Mincho" w:hAnsi="Arial" w:cs="Arial"/>
          <w:b/>
          <w:sz w:val="24"/>
          <w:szCs w:val="24"/>
        </w:rPr>
        <w:t>3GPP TSG-RAN WG4 Meeting #</w:t>
      </w:r>
      <w:r w:rsidRPr="00C7181F">
        <w:rPr>
          <w:rFonts w:ascii="Arial" w:eastAsia="MS Mincho" w:hAnsi="Arial" w:cs="Arial"/>
          <w:sz w:val="20"/>
          <w:szCs w:val="20"/>
        </w:rPr>
        <w:t xml:space="preserve"> </w:t>
      </w:r>
      <w:r w:rsidRPr="00C7181F">
        <w:rPr>
          <w:rFonts w:ascii="Arial" w:eastAsia="MS Mincho" w:hAnsi="Arial" w:cs="Arial"/>
          <w:b/>
          <w:sz w:val="24"/>
          <w:szCs w:val="24"/>
        </w:rPr>
        <w:t>104-e</w:t>
      </w:r>
      <w:r w:rsidRPr="00C7181F">
        <w:rPr>
          <w:rFonts w:ascii="Arial" w:eastAsia="MS Mincho" w:hAnsi="Arial" w:cs="Arial"/>
          <w:b/>
          <w:sz w:val="24"/>
          <w:szCs w:val="24"/>
        </w:rPr>
        <w:tab/>
      </w:r>
      <w:r w:rsidR="00767E38" w:rsidRPr="00767E38">
        <w:rPr>
          <w:rFonts w:ascii="Arial" w:eastAsia="MS Mincho" w:hAnsi="Arial" w:cs="Arial"/>
          <w:b/>
          <w:sz w:val="24"/>
          <w:szCs w:val="24"/>
        </w:rPr>
        <w:t>R4-2211858</w:t>
      </w:r>
    </w:p>
    <w:p w14:paraId="0B456055" w14:textId="77777777" w:rsidR="00BF4833" w:rsidRPr="00C7181F" w:rsidRDefault="00BF4833" w:rsidP="00BF4833">
      <w:pPr>
        <w:tabs>
          <w:tab w:val="right" w:pos="9781"/>
          <w:tab w:val="right" w:pos="13323"/>
        </w:tabs>
        <w:spacing w:after="60"/>
        <w:jc w:val="left"/>
        <w:outlineLvl w:val="0"/>
        <w:rPr>
          <w:rFonts w:ascii="Arial" w:eastAsia="SimSun" w:hAnsi="Arial" w:cs="Arial"/>
          <w:b/>
          <w:sz w:val="24"/>
          <w:szCs w:val="24"/>
          <w:lang w:eastAsia="zh-CN"/>
        </w:rPr>
      </w:pPr>
      <w:r w:rsidRPr="00C7181F">
        <w:rPr>
          <w:rFonts w:ascii="Arial" w:eastAsia="SimSun" w:hAnsi="Arial" w:cs="Arial"/>
          <w:b/>
          <w:sz w:val="24"/>
          <w:szCs w:val="24"/>
          <w:lang w:eastAsia="zh-CN"/>
        </w:rPr>
        <w:t>Electronic Meeting, August 15 – August 26, 2022</w:t>
      </w:r>
    </w:p>
    <w:p w14:paraId="2305CEA3" w14:textId="7AD4D61D" w:rsidR="009F52D7" w:rsidRPr="00303915" w:rsidRDefault="009F52D7" w:rsidP="009F52D7">
      <w:pPr>
        <w:pStyle w:val="CH"/>
        <w:rPr>
          <w:sz w:val="24"/>
          <w:szCs w:val="24"/>
        </w:rPr>
      </w:pPr>
      <w:r w:rsidRPr="00303915">
        <w:rPr>
          <w:sz w:val="24"/>
          <w:szCs w:val="24"/>
        </w:rPr>
        <w:t>Agenda item:</w:t>
      </w:r>
      <w:r w:rsidRPr="00303915">
        <w:rPr>
          <w:sz w:val="24"/>
          <w:szCs w:val="24"/>
        </w:rPr>
        <w:tab/>
      </w:r>
      <w:r w:rsidR="003955A2" w:rsidRPr="003955A2">
        <w:rPr>
          <w:sz w:val="24"/>
          <w:szCs w:val="24"/>
        </w:rPr>
        <w:t>9.1</w:t>
      </w:r>
      <w:r w:rsidR="00BF4833">
        <w:rPr>
          <w:sz w:val="24"/>
          <w:szCs w:val="24"/>
        </w:rPr>
        <w:t>7</w:t>
      </w:r>
      <w:r w:rsidR="003955A2" w:rsidRPr="003955A2">
        <w:rPr>
          <w:sz w:val="24"/>
          <w:szCs w:val="24"/>
        </w:rPr>
        <w:t>.2.</w:t>
      </w:r>
      <w:r w:rsidR="00900F20">
        <w:rPr>
          <w:sz w:val="24"/>
          <w:szCs w:val="24"/>
        </w:rPr>
        <w:t>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1ED61DF9"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BF4833" w:rsidRPr="00BF4833">
        <w:rPr>
          <w:sz w:val="24"/>
          <w:szCs w:val="24"/>
        </w:rPr>
        <w:t xml:space="preserve">On </w:t>
      </w:r>
      <w:r w:rsidR="00BF4833">
        <w:rPr>
          <w:sz w:val="24"/>
          <w:szCs w:val="24"/>
        </w:rPr>
        <w:t>R</w:t>
      </w:r>
      <w:r w:rsidR="00BF4833" w:rsidRPr="00BF4833">
        <w:rPr>
          <w:sz w:val="24"/>
          <w:szCs w:val="24"/>
        </w:rPr>
        <w:t xml:space="preserve">emaining </w:t>
      </w:r>
      <w:r w:rsidR="00BF4833">
        <w:rPr>
          <w:sz w:val="24"/>
          <w:szCs w:val="24"/>
        </w:rPr>
        <w:t>I</w:t>
      </w:r>
      <w:r w:rsidR="00BF4833" w:rsidRPr="00BF4833">
        <w:rPr>
          <w:sz w:val="24"/>
          <w:szCs w:val="24"/>
        </w:rPr>
        <w:t xml:space="preserve">ssues for </w:t>
      </w:r>
      <w:r w:rsidR="00BF4833">
        <w:rPr>
          <w:sz w:val="24"/>
          <w:szCs w:val="24"/>
        </w:rPr>
        <w:t>U</w:t>
      </w:r>
      <w:r w:rsidR="00BF4833" w:rsidRPr="00BF4833">
        <w:rPr>
          <w:sz w:val="24"/>
          <w:szCs w:val="24"/>
        </w:rPr>
        <w:t xml:space="preserve">nified TCI </w:t>
      </w:r>
      <w:r w:rsidR="00BF4833">
        <w:rPr>
          <w:sz w:val="24"/>
          <w:szCs w:val="24"/>
        </w:rPr>
        <w:t>R</w:t>
      </w:r>
      <w:r w:rsidR="00BF4833" w:rsidRPr="00BF4833">
        <w:rPr>
          <w:sz w:val="24"/>
          <w:szCs w:val="24"/>
        </w:rPr>
        <w:t>equirements</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739081B" w14:textId="0D8613C7" w:rsidR="00C94AC7" w:rsidRPr="00316E46" w:rsidRDefault="000A6ED6" w:rsidP="00C94AC7">
      <w:pPr>
        <w:spacing w:after="120"/>
        <w:rPr>
          <w:sz w:val="20"/>
          <w:szCs w:val="20"/>
        </w:rPr>
      </w:pPr>
      <w:r w:rsidRPr="005B3E77">
        <w:rPr>
          <w:sz w:val="20"/>
          <w:szCs w:val="20"/>
        </w:rPr>
        <w:t>In RAN4#10</w:t>
      </w:r>
      <w:r w:rsidR="003D3197">
        <w:rPr>
          <w:sz w:val="20"/>
          <w:szCs w:val="20"/>
        </w:rPr>
        <w:t>3</w:t>
      </w:r>
      <w:r w:rsidRPr="005B3E77">
        <w:rPr>
          <w:sz w:val="20"/>
          <w:szCs w:val="20"/>
        </w:rPr>
        <w:t xml:space="preserve">-e requirements for intercell beam management were discussed and way forward [1] was </w:t>
      </w:r>
      <w:r w:rsidRPr="000A6ED6">
        <w:rPr>
          <w:sz w:val="20"/>
          <w:szCs w:val="20"/>
        </w:rPr>
        <w:t xml:space="preserve">agreed. </w:t>
      </w:r>
      <w:r w:rsidR="00C94AC7" w:rsidRPr="000A6ED6">
        <w:rPr>
          <w:sz w:val="20"/>
          <w:szCs w:val="20"/>
        </w:rPr>
        <w:t xml:space="preserve"> </w:t>
      </w:r>
      <w:r w:rsidRPr="000A6ED6">
        <w:rPr>
          <w:sz w:val="20"/>
          <w:szCs w:val="20"/>
        </w:rPr>
        <w:t>In this</w:t>
      </w:r>
      <w:r w:rsidRPr="005B3E77">
        <w:rPr>
          <w:sz w:val="20"/>
          <w:szCs w:val="20"/>
        </w:rPr>
        <w:t xml:space="preserve"> contribution we present our views on </w:t>
      </w:r>
      <w:r w:rsidR="007E6406">
        <w:rPr>
          <w:sz w:val="20"/>
          <w:szCs w:val="20"/>
        </w:rPr>
        <w:t xml:space="preserve">open issues on </w:t>
      </w:r>
      <w:r w:rsidRPr="005B3E77">
        <w:rPr>
          <w:sz w:val="20"/>
          <w:szCs w:val="20"/>
        </w:rPr>
        <w:t xml:space="preserve">requirements for </w:t>
      </w:r>
      <w:r w:rsidR="007E6406">
        <w:rPr>
          <w:sz w:val="20"/>
          <w:szCs w:val="20"/>
        </w:rPr>
        <w:t>unified TCI</w:t>
      </w:r>
      <w:r>
        <w:rPr>
          <w:sz w:val="20"/>
          <w:szCs w:val="20"/>
        </w:rPr>
        <w:t xml:space="preserve">. </w:t>
      </w:r>
      <w:r w:rsidR="00C94AC7" w:rsidRPr="00316E46">
        <w:rPr>
          <w:sz w:val="20"/>
          <w:szCs w:val="20"/>
        </w:rPr>
        <w:t xml:space="preserve">  </w:t>
      </w:r>
    </w:p>
    <w:p w14:paraId="4EAFA8EB" w14:textId="77777777" w:rsidR="009F52D7" w:rsidRDefault="009F52D7" w:rsidP="009F52D7">
      <w:pPr>
        <w:pStyle w:val="Heading1"/>
      </w:pPr>
      <w:r>
        <w:t>2. Discussion</w:t>
      </w:r>
    </w:p>
    <w:p w14:paraId="26144049" w14:textId="1344DC61" w:rsidR="00EE08F2" w:rsidRDefault="00EE08F2" w:rsidP="00EE08F2">
      <w:pPr>
        <w:spacing w:after="120"/>
        <w:rPr>
          <w:lang w:val="en-GB"/>
        </w:rPr>
      </w:pPr>
      <w:r w:rsidRPr="00EE08F2">
        <w:rPr>
          <w:lang w:val="en-GB"/>
        </w:rPr>
        <w:t xml:space="preserve">The open issues related to </w:t>
      </w:r>
      <w:r>
        <w:rPr>
          <w:lang w:val="en-GB"/>
        </w:rPr>
        <w:t>Unified TCI requirements are:</w:t>
      </w:r>
    </w:p>
    <w:p w14:paraId="156A556C" w14:textId="54BFB8E7" w:rsidR="002F2200" w:rsidRDefault="002F2200" w:rsidP="002F2200">
      <w:pPr>
        <w:numPr>
          <w:ilvl w:val="1"/>
          <w:numId w:val="9"/>
        </w:numPr>
        <w:spacing w:after="120"/>
        <w:rPr>
          <w:lang w:val="en-GB"/>
        </w:rPr>
      </w:pPr>
      <w:r w:rsidRPr="002F2200">
        <w:rPr>
          <w:lang w:val="en-GB"/>
        </w:rPr>
        <w:t>Joint TCI switching delay requirement</w:t>
      </w:r>
    </w:p>
    <w:p w14:paraId="5A255BC6" w14:textId="0DEAA44A" w:rsidR="002F2200" w:rsidRDefault="002F2200" w:rsidP="002F2200">
      <w:pPr>
        <w:numPr>
          <w:ilvl w:val="1"/>
          <w:numId w:val="9"/>
        </w:numPr>
        <w:spacing w:after="120"/>
        <w:rPr>
          <w:lang w:val="en-GB"/>
        </w:rPr>
      </w:pPr>
      <w:r w:rsidRPr="002F2200">
        <w:rPr>
          <w:lang w:val="en-GB"/>
        </w:rPr>
        <w:t>MAC-CE based UL TCI state switching delay when SSB is indicated as PL-RS in UL TCI state for FR2</w:t>
      </w:r>
    </w:p>
    <w:p w14:paraId="7DAD7176" w14:textId="72EEFD4A" w:rsidR="002F2200" w:rsidRDefault="002F2200" w:rsidP="002F2200">
      <w:pPr>
        <w:numPr>
          <w:ilvl w:val="1"/>
          <w:numId w:val="9"/>
        </w:numPr>
        <w:spacing w:after="120"/>
        <w:rPr>
          <w:lang w:val="en-GB"/>
        </w:rPr>
      </w:pPr>
      <w:r w:rsidRPr="002F2200">
        <w:rPr>
          <w:lang w:val="en-GB"/>
        </w:rPr>
        <w:t>Requirement applicability of DCI based UL TCI state switching delay</w:t>
      </w:r>
    </w:p>
    <w:p w14:paraId="5577E4A9" w14:textId="4D19D602" w:rsidR="002F2200" w:rsidRDefault="002F2200" w:rsidP="002F2200">
      <w:pPr>
        <w:numPr>
          <w:ilvl w:val="1"/>
          <w:numId w:val="9"/>
        </w:numPr>
        <w:spacing w:after="120"/>
        <w:rPr>
          <w:lang w:val="en-GB"/>
        </w:rPr>
      </w:pPr>
      <w:r w:rsidRPr="002F2200">
        <w:rPr>
          <w:lang w:val="en-GB"/>
        </w:rPr>
        <w:t>Whether to consider unknown TCI state in the TCI state list</w:t>
      </w:r>
    </w:p>
    <w:p w14:paraId="7333D8E0" w14:textId="77777777" w:rsidR="002F2200" w:rsidRPr="002F2200" w:rsidRDefault="002F2200" w:rsidP="00C4502B">
      <w:pPr>
        <w:spacing w:after="120"/>
        <w:rPr>
          <w:lang w:val="en-GB"/>
        </w:rPr>
      </w:pPr>
    </w:p>
    <w:p w14:paraId="640D7760" w14:textId="77777777" w:rsidR="00C4502B" w:rsidRPr="00D24AF7" w:rsidRDefault="00C4502B" w:rsidP="00C4502B">
      <w:pPr>
        <w:spacing w:after="120"/>
        <w:rPr>
          <w:b/>
          <w:bCs/>
          <w:u w:val="single"/>
          <w:lang w:val="en-GB"/>
        </w:rPr>
      </w:pPr>
      <w:r w:rsidRPr="002F2200">
        <w:rPr>
          <w:b/>
          <w:bCs/>
          <w:u w:val="single"/>
          <w:lang w:val="en-GB"/>
        </w:rPr>
        <w:t>Joint TCI switching delay requirement</w:t>
      </w:r>
    </w:p>
    <w:p w14:paraId="72352762" w14:textId="1BCF0743" w:rsidR="00EE08F2" w:rsidRDefault="007F735F" w:rsidP="00EE08F2">
      <w:pPr>
        <w:spacing w:after="120"/>
        <w:rPr>
          <w:lang w:val="en-GB"/>
        </w:rPr>
      </w:pPr>
      <w:r>
        <w:rPr>
          <w:lang w:val="en-GB"/>
        </w:rPr>
        <w:t>Options discussed in [1] for joint TCI state switching delay:</w:t>
      </w:r>
    </w:p>
    <w:p w14:paraId="1ADC2CD1" w14:textId="77777777" w:rsidR="007F735F" w:rsidRPr="007F735F" w:rsidRDefault="007F735F" w:rsidP="007F735F">
      <w:pPr>
        <w:numPr>
          <w:ilvl w:val="1"/>
          <w:numId w:val="9"/>
        </w:numPr>
        <w:spacing w:after="120"/>
        <w:rPr>
          <w:lang w:val="en-GB"/>
        </w:rPr>
      </w:pPr>
      <w:r w:rsidRPr="007F735F">
        <w:rPr>
          <w:lang w:val="en-GB"/>
        </w:rPr>
        <w:t>Joint TCI switching delay requirement</w:t>
      </w:r>
    </w:p>
    <w:p w14:paraId="0BB01BDB" w14:textId="77777777" w:rsidR="007F735F" w:rsidRPr="007F735F" w:rsidRDefault="007F735F" w:rsidP="007F735F">
      <w:pPr>
        <w:numPr>
          <w:ilvl w:val="2"/>
          <w:numId w:val="10"/>
        </w:numPr>
        <w:spacing w:after="120"/>
        <w:rPr>
          <w:lang w:val="en-GB"/>
        </w:rPr>
      </w:pPr>
      <w:r w:rsidRPr="007F735F">
        <w:rPr>
          <w:lang w:val="en-GB"/>
        </w:rPr>
        <w:t>Option 1: In case of joint TCI state switch, UE is not expected to receive on DL before UE completes the DL and UL TCI state switch</w:t>
      </w:r>
    </w:p>
    <w:p w14:paraId="7E29506F" w14:textId="77777777" w:rsidR="007F735F" w:rsidRPr="007F735F" w:rsidRDefault="007F735F" w:rsidP="007F735F">
      <w:pPr>
        <w:numPr>
          <w:ilvl w:val="2"/>
          <w:numId w:val="10"/>
        </w:numPr>
        <w:spacing w:after="120"/>
        <w:rPr>
          <w:lang w:val="en-GB"/>
        </w:rPr>
      </w:pPr>
      <w:r w:rsidRPr="007F735F">
        <w:rPr>
          <w:lang w:val="en-GB"/>
        </w:rPr>
        <w:t>Option 2: Joint TCI switching delay is regarded as same as a pair of separate DL/UL TCI switching.</w:t>
      </w:r>
    </w:p>
    <w:p w14:paraId="11FFB527" w14:textId="77777777" w:rsidR="007F735F" w:rsidRPr="007F735F" w:rsidRDefault="007F735F" w:rsidP="007F735F">
      <w:pPr>
        <w:numPr>
          <w:ilvl w:val="2"/>
          <w:numId w:val="11"/>
        </w:numPr>
        <w:spacing w:after="120"/>
        <w:rPr>
          <w:lang w:val="en-GB"/>
        </w:rPr>
      </w:pPr>
      <w:r w:rsidRPr="007F735F">
        <w:rPr>
          <w:lang w:val="en-GB"/>
        </w:rPr>
        <w:t>In case of joint TCI state switch, UE is expected to receive on DL, when UE completes the DL state switch.</w:t>
      </w:r>
    </w:p>
    <w:p w14:paraId="19D55257" w14:textId="77777777" w:rsidR="007F735F" w:rsidRPr="007F735F" w:rsidRDefault="007F735F" w:rsidP="007F735F">
      <w:pPr>
        <w:numPr>
          <w:ilvl w:val="2"/>
          <w:numId w:val="11"/>
        </w:numPr>
        <w:spacing w:after="120"/>
        <w:rPr>
          <w:lang w:val="en-GB"/>
        </w:rPr>
      </w:pPr>
      <w:r w:rsidRPr="007F735F">
        <w:rPr>
          <w:lang w:val="en-GB"/>
        </w:rPr>
        <w:t>In case of joint TCI state switch, UE is expected to transmit on UL, when UE completes the UL state switch.</w:t>
      </w:r>
    </w:p>
    <w:p w14:paraId="27C49DC9" w14:textId="77777777" w:rsidR="007F735F" w:rsidRPr="007F735F" w:rsidRDefault="007F735F" w:rsidP="007F735F">
      <w:pPr>
        <w:numPr>
          <w:ilvl w:val="2"/>
          <w:numId w:val="10"/>
        </w:numPr>
        <w:spacing w:after="120"/>
        <w:rPr>
          <w:lang w:val="en-GB"/>
        </w:rPr>
      </w:pPr>
      <w:r w:rsidRPr="007F735F">
        <w:rPr>
          <w:lang w:val="en-GB"/>
        </w:rPr>
        <w:t>Other options are not precluded.</w:t>
      </w:r>
    </w:p>
    <w:p w14:paraId="0145FE6C" w14:textId="77777777" w:rsidR="007F735F" w:rsidRDefault="007F735F" w:rsidP="00EE08F2">
      <w:pPr>
        <w:spacing w:after="120"/>
        <w:rPr>
          <w:lang w:val="en-GB"/>
        </w:rPr>
      </w:pPr>
      <w:r>
        <w:rPr>
          <w:lang w:val="en-GB"/>
        </w:rPr>
        <w:t>The following was agreed in GTW session in RAN4#101bis-e:</w:t>
      </w:r>
    </w:p>
    <w:tbl>
      <w:tblPr>
        <w:tblStyle w:val="TableGrid"/>
        <w:tblW w:w="0" w:type="auto"/>
        <w:tblLook w:val="04A0" w:firstRow="1" w:lastRow="0" w:firstColumn="1" w:lastColumn="0" w:noHBand="0" w:noVBand="1"/>
      </w:tblPr>
      <w:tblGrid>
        <w:gridCol w:w="9350"/>
      </w:tblGrid>
      <w:tr w:rsidR="007F735F" w14:paraId="29F277E6" w14:textId="77777777" w:rsidTr="007F735F">
        <w:tc>
          <w:tcPr>
            <w:tcW w:w="9350" w:type="dxa"/>
          </w:tcPr>
          <w:p w14:paraId="640A1ED5" w14:textId="77777777" w:rsidR="00B0641C" w:rsidRPr="00B0641C" w:rsidRDefault="00B0641C" w:rsidP="00B0641C">
            <w:pPr>
              <w:pStyle w:val="ListParagraph"/>
              <w:numPr>
                <w:ilvl w:val="0"/>
                <w:numId w:val="12"/>
              </w:numPr>
              <w:autoSpaceDN w:val="0"/>
              <w:spacing w:after="120" w:line="252" w:lineRule="auto"/>
              <w:ind w:firstLineChars="0"/>
              <w:rPr>
                <w:rFonts w:ascii="Times New Roman" w:hAnsi="Times New Roman" w:cs="Times New Roman"/>
                <w:sz w:val="20"/>
                <w:szCs w:val="20"/>
                <w:lang w:eastAsia="ja-JP"/>
              </w:rPr>
            </w:pPr>
            <w:r w:rsidRPr="00B0641C">
              <w:rPr>
                <w:rFonts w:ascii="Times New Roman" w:hAnsi="Times New Roman" w:cs="Times New Roman"/>
                <w:sz w:val="20"/>
                <w:szCs w:val="20"/>
                <w:lang w:val="sv-SE"/>
              </w:rPr>
              <w:t xml:space="preserve">No extra </w:t>
            </w:r>
            <w:proofErr w:type="spellStart"/>
            <w:r w:rsidRPr="00B0641C">
              <w:rPr>
                <w:rFonts w:ascii="Times New Roman" w:hAnsi="Times New Roman" w:cs="Times New Roman"/>
                <w:sz w:val="20"/>
                <w:szCs w:val="20"/>
                <w:lang w:val="sv-SE"/>
              </w:rPr>
              <w:t>requirement</w:t>
            </w:r>
            <w:proofErr w:type="spellEnd"/>
            <w:r w:rsidRPr="00B0641C">
              <w:rPr>
                <w:rFonts w:ascii="Times New Roman" w:hAnsi="Times New Roman" w:cs="Times New Roman"/>
                <w:sz w:val="20"/>
                <w:szCs w:val="20"/>
                <w:lang w:val="sv-SE"/>
              </w:rPr>
              <w:t xml:space="preserve"> </w:t>
            </w:r>
            <w:proofErr w:type="spellStart"/>
            <w:r w:rsidRPr="00B0641C">
              <w:rPr>
                <w:rFonts w:ascii="Times New Roman" w:hAnsi="Times New Roman" w:cs="Times New Roman"/>
                <w:sz w:val="20"/>
                <w:szCs w:val="20"/>
                <w:lang w:val="sv-SE"/>
              </w:rPr>
              <w:t>needed</w:t>
            </w:r>
            <w:proofErr w:type="spellEnd"/>
            <w:r w:rsidRPr="00B0641C">
              <w:rPr>
                <w:rFonts w:ascii="Times New Roman" w:hAnsi="Times New Roman" w:cs="Times New Roman"/>
                <w:sz w:val="20"/>
                <w:szCs w:val="20"/>
                <w:lang w:val="sv-SE"/>
              </w:rPr>
              <w:t xml:space="preserve"> for </w:t>
            </w:r>
            <w:r w:rsidRPr="00B0641C">
              <w:rPr>
                <w:rFonts w:ascii="Times New Roman" w:hAnsi="Times New Roman" w:cs="Times New Roman"/>
                <w:sz w:val="20"/>
                <w:szCs w:val="20"/>
              </w:rPr>
              <w:t xml:space="preserve">Joint TCI mode, DL and UL requirements can be applicable </w:t>
            </w:r>
            <w:r w:rsidRPr="00C1785B">
              <w:rPr>
                <w:rFonts w:ascii="Times New Roman" w:hAnsi="Times New Roman" w:cs="Times New Roman"/>
                <w:color w:val="000000" w:themeColor="text1"/>
                <w:sz w:val="20"/>
                <w:szCs w:val="20"/>
              </w:rPr>
              <w:t>independently</w:t>
            </w:r>
          </w:p>
          <w:p w14:paraId="734DD061" w14:textId="77777777" w:rsidR="00B0641C" w:rsidRPr="00BA44A9" w:rsidRDefault="00B0641C" w:rsidP="00B0641C">
            <w:pPr>
              <w:pStyle w:val="ListParagraph"/>
              <w:numPr>
                <w:ilvl w:val="1"/>
                <w:numId w:val="12"/>
              </w:numPr>
              <w:autoSpaceDN w:val="0"/>
              <w:spacing w:after="120" w:line="252" w:lineRule="auto"/>
              <w:ind w:firstLineChars="0"/>
              <w:rPr>
                <w:lang w:eastAsia="ja-JP"/>
              </w:rPr>
            </w:pPr>
            <w:r w:rsidRPr="00B0641C">
              <w:rPr>
                <w:rFonts w:ascii="Times New Roman" w:hAnsi="Times New Roman" w:cs="Times New Roman"/>
                <w:sz w:val="20"/>
                <w:szCs w:val="20"/>
              </w:rPr>
              <w:t xml:space="preserve">Note: it is not expected that UE will be required to make DL reception or UL transmission before UE completes the DL or UL TCI state switching, </w:t>
            </w:r>
            <w:r w:rsidRPr="00C1785B">
              <w:rPr>
                <w:rFonts w:ascii="Times New Roman" w:hAnsi="Times New Roman" w:cs="Times New Roman"/>
                <w:color w:val="000000" w:themeColor="text1"/>
                <w:sz w:val="20"/>
                <w:szCs w:val="20"/>
              </w:rPr>
              <w:t>respectively</w:t>
            </w:r>
          </w:p>
          <w:p w14:paraId="6AFA9351" w14:textId="77777777" w:rsidR="007F735F" w:rsidRDefault="007F735F" w:rsidP="00EE08F2">
            <w:pPr>
              <w:spacing w:after="120"/>
              <w:rPr>
                <w:lang w:val="en-GB"/>
              </w:rPr>
            </w:pPr>
          </w:p>
        </w:tc>
      </w:tr>
    </w:tbl>
    <w:p w14:paraId="40618305" w14:textId="535D41AB" w:rsidR="00C1785B" w:rsidRDefault="007F735F" w:rsidP="00EE08F2">
      <w:pPr>
        <w:spacing w:after="120"/>
        <w:rPr>
          <w:lang w:val="en-GB"/>
        </w:rPr>
      </w:pPr>
      <w:r>
        <w:rPr>
          <w:lang w:val="en-GB"/>
        </w:rPr>
        <w:t xml:space="preserve"> </w:t>
      </w:r>
      <w:r w:rsidR="00C672B6">
        <w:rPr>
          <w:lang w:val="en-GB"/>
        </w:rPr>
        <w:t xml:space="preserve"> Joint TCI state switching is not the same as pair of </w:t>
      </w:r>
      <w:proofErr w:type="gramStart"/>
      <w:r w:rsidR="00C672B6">
        <w:rPr>
          <w:lang w:val="en-GB"/>
        </w:rPr>
        <w:t>separate  DL</w:t>
      </w:r>
      <w:proofErr w:type="gramEnd"/>
      <w:r w:rsidR="00C672B6">
        <w:rPr>
          <w:lang w:val="en-GB"/>
        </w:rPr>
        <w:t xml:space="preserve">/UL TCI. Joint TCI state specifies the TCI state of DL and UL together, and the switching delay should be when both DL and UL TCI state are complete. We </w:t>
      </w:r>
      <w:r w:rsidR="00C672B6">
        <w:rPr>
          <w:lang w:val="en-GB"/>
        </w:rPr>
        <w:lastRenderedPageBreak/>
        <w:t xml:space="preserve">agreed to specify them separately based on the agreement that UE is not expected to receive on the DL before UL switch is completed. </w:t>
      </w:r>
      <w:r w:rsidR="00871E02">
        <w:rPr>
          <w:lang w:val="en-GB"/>
        </w:rPr>
        <w:t>Hence,</w:t>
      </w:r>
      <w:r w:rsidR="00C672B6">
        <w:rPr>
          <w:lang w:val="en-GB"/>
        </w:rPr>
        <w:t xml:space="preserve"> we propose to honour the original agreement and </w:t>
      </w:r>
      <w:r w:rsidR="00C1785B">
        <w:rPr>
          <w:lang w:val="en-GB"/>
        </w:rPr>
        <w:t>define the ending point of switching delay for joint TCI state switch after both UL and DL TCI state switch are complete.</w:t>
      </w:r>
    </w:p>
    <w:p w14:paraId="6597370C" w14:textId="7527B893" w:rsidR="00C1785B" w:rsidRPr="00C1785B" w:rsidRDefault="00C1785B" w:rsidP="00EE08F2">
      <w:pPr>
        <w:spacing w:after="120"/>
        <w:rPr>
          <w:b/>
          <w:bCs/>
          <w:lang w:val="en-GB"/>
        </w:rPr>
      </w:pPr>
      <w:r>
        <w:rPr>
          <w:b/>
          <w:bCs/>
          <w:lang w:val="en-GB"/>
        </w:rPr>
        <w:t xml:space="preserve">Proposal #1: Honour the previous agreements that for joint TCI state switch UE is not expected to receive on the DL or transmit on the UL until it completes both UL and DL TCI state switch. </w:t>
      </w:r>
    </w:p>
    <w:p w14:paraId="1AEC17E4" w14:textId="77777777" w:rsidR="00D24AF7" w:rsidRDefault="00D24AF7" w:rsidP="00D24AF7">
      <w:pPr>
        <w:spacing w:after="120"/>
        <w:rPr>
          <w:lang w:val="en-GB"/>
        </w:rPr>
      </w:pPr>
    </w:p>
    <w:p w14:paraId="649470DB" w14:textId="749533AB" w:rsidR="00D24AF7" w:rsidRPr="007F735F" w:rsidRDefault="00D24AF7" w:rsidP="00D24AF7">
      <w:pPr>
        <w:spacing w:after="120"/>
        <w:rPr>
          <w:b/>
          <w:bCs/>
          <w:u w:val="single"/>
          <w:lang w:val="en-GB"/>
        </w:rPr>
      </w:pPr>
      <w:r w:rsidRPr="007F735F">
        <w:rPr>
          <w:b/>
          <w:bCs/>
          <w:u w:val="single"/>
          <w:lang w:val="en-GB"/>
        </w:rPr>
        <w:t>MAC-CE based UL TCI state switching delay when SSB is indicated as PL-RS in UL TCI state for FR2</w:t>
      </w:r>
    </w:p>
    <w:p w14:paraId="2EC46257" w14:textId="77777777" w:rsidR="00871E02" w:rsidRDefault="00871E02" w:rsidP="00871E02">
      <w:pPr>
        <w:spacing w:after="120"/>
        <w:ind w:left="450"/>
        <w:rPr>
          <w:rFonts w:eastAsiaTheme="minorEastAsia"/>
          <w:b/>
          <w:u w:val="single"/>
          <w:lang w:eastAsia="zh-CN"/>
        </w:rPr>
      </w:pPr>
      <w:r>
        <w:rPr>
          <w:rFonts w:eastAsiaTheme="minorEastAsia"/>
          <w:b/>
          <w:u w:val="single"/>
          <w:lang w:eastAsia="zh-CN"/>
        </w:rPr>
        <w:t>Issue 1-1-4 MAC-CE based UL TCI state switching delay when SSB is indicated as PL-RS in UL TCI state for FR2</w:t>
      </w:r>
    </w:p>
    <w:p w14:paraId="3EFD7760" w14:textId="77777777" w:rsidR="00871E02" w:rsidRPr="004D1757" w:rsidRDefault="00871E02" w:rsidP="00871E02">
      <w:pPr>
        <w:spacing w:after="120"/>
        <w:ind w:firstLine="450"/>
        <w:rPr>
          <w:rFonts w:eastAsiaTheme="minorEastAsia"/>
          <w:bCs/>
          <w:lang w:eastAsia="zh-CN"/>
        </w:rPr>
      </w:pPr>
      <w:r>
        <w:rPr>
          <w:rFonts w:eastAsiaTheme="minorEastAsia"/>
          <w:bCs/>
          <w:lang w:eastAsia="zh-CN"/>
        </w:rPr>
        <w:t>FFS</w:t>
      </w:r>
      <w:r w:rsidRPr="007F0444">
        <w:rPr>
          <w:rFonts w:eastAsiaTheme="minorEastAsia"/>
          <w:bCs/>
          <w:lang w:eastAsia="zh-CN"/>
        </w:rPr>
        <w:t>:</w:t>
      </w:r>
    </w:p>
    <w:p w14:paraId="1CD97A90" w14:textId="77777777" w:rsidR="00871E02" w:rsidRPr="00871E02" w:rsidRDefault="00871E02" w:rsidP="00871E02">
      <w:pPr>
        <w:pStyle w:val="ListParagraph"/>
        <w:numPr>
          <w:ilvl w:val="2"/>
          <w:numId w:val="10"/>
        </w:numPr>
        <w:spacing w:after="120" w:line="259" w:lineRule="auto"/>
        <w:ind w:firstLineChars="0"/>
        <w:rPr>
          <w:rFonts w:ascii="Times New Roman" w:hAnsi="Times New Roman" w:cs="Times New Roman"/>
          <w:bCs/>
          <w:sz w:val="20"/>
          <w:szCs w:val="20"/>
        </w:rPr>
      </w:pPr>
      <w:r w:rsidRPr="00871E02">
        <w:rPr>
          <w:rFonts w:ascii="Times New Roman" w:hAnsi="Times New Roman" w:cs="Times New Roman"/>
          <w:sz w:val="20"/>
          <w:szCs w:val="20"/>
        </w:rPr>
        <w:t>Option-</w:t>
      </w:r>
      <w:proofErr w:type="gramStart"/>
      <w:r w:rsidRPr="00871E02">
        <w:rPr>
          <w:rFonts w:ascii="Times New Roman" w:hAnsi="Times New Roman" w:cs="Times New Roman"/>
          <w:sz w:val="20"/>
          <w:szCs w:val="20"/>
        </w:rPr>
        <w:t>1 :</w:t>
      </w:r>
      <w:proofErr w:type="gramEnd"/>
      <w:r w:rsidRPr="00871E02">
        <w:rPr>
          <w:rFonts w:ascii="Times New Roman" w:hAnsi="Times New Roman" w:cs="Times New Roman"/>
          <w:sz w:val="20"/>
          <w:szCs w:val="20"/>
        </w:rPr>
        <w:t xml:space="preserve"> </w:t>
      </w:r>
      <w:r w:rsidRPr="00871E02">
        <w:rPr>
          <w:rFonts w:ascii="Times New Roman" w:hAnsi="Times New Roman" w:cs="Times New Roman"/>
          <w:bCs/>
          <w:sz w:val="20"/>
          <w:szCs w:val="20"/>
        </w:rPr>
        <w:t>Longer delay is expected when SSB is indicated as PL-RS in UL TCI state for FR2</w:t>
      </w:r>
    </w:p>
    <w:p w14:paraId="5E3FB43D" w14:textId="77777777" w:rsidR="00871E02" w:rsidRPr="00871E02" w:rsidRDefault="00871E02" w:rsidP="00871E02">
      <w:pPr>
        <w:pStyle w:val="ListParagraph"/>
        <w:numPr>
          <w:ilvl w:val="2"/>
          <w:numId w:val="10"/>
        </w:numPr>
        <w:spacing w:after="120" w:line="259" w:lineRule="auto"/>
        <w:ind w:firstLineChars="0"/>
        <w:rPr>
          <w:rFonts w:ascii="Times New Roman" w:hAnsi="Times New Roman" w:cs="Times New Roman"/>
          <w:bCs/>
          <w:sz w:val="20"/>
          <w:szCs w:val="20"/>
        </w:rPr>
      </w:pPr>
      <w:r w:rsidRPr="00871E02">
        <w:rPr>
          <w:rFonts w:ascii="Times New Roman" w:hAnsi="Times New Roman" w:cs="Times New Roman"/>
          <w:bCs/>
          <w:sz w:val="20"/>
          <w:szCs w:val="20"/>
        </w:rPr>
        <w:t>Option-</w:t>
      </w:r>
      <w:proofErr w:type="gramStart"/>
      <w:r w:rsidRPr="00871E02">
        <w:rPr>
          <w:rFonts w:ascii="Times New Roman" w:hAnsi="Times New Roman" w:cs="Times New Roman"/>
          <w:bCs/>
          <w:sz w:val="20"/>
          <w:szCs w:val="20"/>
        </w:rPr>
        <w:t>2 :</w:t>
      </w:r>
      <w:proofErr w:type="gramEnd"/>
      <w:r w:rsidRPr="00871E02">
        <w:rPr>
          <w:rFonts w:ascii="Times New Roman" w:hAnsi="Times New Roman" w:cs="Times New Roman"/>
          <w:bCs/>
          <w:sz w:val="20"/>
          <w:szCs w:val="20"/>
        </w:rPr>
        <w:t xml:space="preserve"> If a UE has measured and reported L1-RSRP within [Y] msec on the SSB indicated as PL-RS in UL TCI state, the PL-RS is regarded to be maintained. (</w:t>
      </w:r>
      <w:proofErr w:type="gramStart"/>
      <w:r w:rsidRPr="00871E02">
        <w:rPr>
          <w:rFonts w:ascii="Times New Roman" w:hAnsi="Times New Roman" w:cs="Times New Roman"/>
          <w:bCs/>
          <w:sz w:val="20"/>
          <w:szCs w:val="20"/>
        </w:rPr>
        <w:t>i.e.</w:t>
      </w:r>
      <w:proofErr w:type="gramEnd"/>
      <w:r w:rsidRPr="00871E02">
        <w:rPr>
          <w:rFonts w:ascii="Times New Roman" w:hAnsi="Times New Roman" w:cs="Times New Roman"/>
          <w:bCs/>
          <w:sz w:val="20"/>
          <w:szCs w:val="20"/>
        </w:rPr>
        <w:t xml:space="preserve"> a filtered L1-RSRP measurement process is equivalent to PL measurement process based on </w:t>
      </w:r>
      <w:r w:rsidR="00574DF6" w:rsidRPr="00C84FBE">
        <w:rPr>
          <w:rFonts w:ascii="Times New Roman" w:hAnsi="Times New Roman" w:cs="Times New Roman"/>
          <w:i/>
          <w:iCs/>
          <w:noProof/>
          <w:position w:val="-12"/>
          <w:sz w:val="20"/>
          <w:szCs w:val="20"/>
        </w:rPr>
        <w:object w:dxaOrig="840" w:dyaOrig="320" w14:anchorId="4CF25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55pt;height:15.45pt;mso-width-percent:0;mso-height-percent:0;mso-width-percent:0;mso-height-percent:0" o:ole="">
            <v:imagedata r:id="rId5" o:title=""/>
          </v:shape>
          <o:OLEObject Type="Embed" ProgID="Equation.3" ShapeID="_x0000_i1025" DrawAspect="Content" ObjectID="_1721577023" r:id="rId6"/>
        </w:object>
      </w:r>
      <w:r w:rsidRPr="00871E02">
        <w:rPr>
          <w:rFonts w:ascii="Times New Roman" w:hAnsi="Times New Roman" w:cs="Times New Roman"/>
          <w:i/>
          <w:iCs/>
          <w:sz w:val="20"/>
          <w:szCs w:val="20"/>
        </w:rPr>
        <w:t xml:space="preserve">= </w:t>
      </w:r>
      <w:proofErr w:type="spellStart"/>
      <w:r w:rsidRPr="00871E02">
        <w:rPr>
          <w:rFonts w:ascii="Times New Roman" w:hAnsi="Times New Roman" w:cs="Times New Roman"/>
          <w:i/>
          <w:iCs/>
          <w:sz w:val="20"/>
          <w:szCs w:val="20"/>
        </w:rPr>
        <w:t>referenceSignalPower</w:t>
      </w:r>
      <w:proofErr w:type="spellEnd"/>
      <w:r w:rsidRPr="00871E02">
        <w:rPr>
          <w:rFonts w:ascii="Times New Roman" w:hAnsi="Times New Roman" w:cs="Times New Roman"/>
          <w:i/>
          <w:iCs/>
          <w:sz w:val="20"/>
          <w:szCs w:val="20"/>
        </w:rPr>
        <w:t xml:space="preserve"> – higher layer filtered RSRP</w:t>
      </w:r>
      <w:r w:rsidRPr="00871E02">
        <w:rPr>
          <w:rFonts w:ascii="Times New Roman" w:hAnsi="Times New Roman" w:cs="Times New Roman"/>
          <w:bCs/>
          <w:sz w:val="20"/>
          <w:szCs w:val="20"/>
        </w:rPr>
        <w:t xml:space="preserve"> in TS38.213)</w:t>
      </w:r>
    </w:p>
    <w:p w14:paraId="20927CA4" w14:textId="77777777" w:rsidR="00871E02" w:rsidRDefault="00871E02" w:rsidP="00EE08F2">
      <w:pPr>
        <w:spacing w:after="120"/>
        <w:rPr>
          <w:lang w:val="en-GB"/>
        </w:rPr>
      </w:pPr>
    </w:p>
    <w:p w14:paraId="1286BDE7" w14:textId="5E027D6C" w:rsidR="00D24AF7" w:rsidRDefault="004C749B" w:rsidP="00EE08F2">
      <w:pPr>
        <w:spacing w:after="120"/>
        <w:rPr>
          <w:lang w:val="en-GB"/>
        </w:rPr>
      </w:pPr>
      <w:r>
        <w:rPr>
          <w:lang w:val="en-GB"/>
        </w:rPr>
        <w:t>The switching delay for UL TCI state switch when SSB is indicated as PL-RS in UL TCI state in FR2 is FFS. When L1 measurement is based on SSB</w:t>
      </w:r>
      <w:r w:rsidR="002A215F">
        <w:rPr>
          <w:lang w:val="en-GB"/>
        </w:rPr>
        <w:t xml:space="preserve"> in FR2</w:t>
      </w:r>
      <w:r>
        <w:rPr>
          <w:lang w:val="en-GB"/>
        </w:rPr>
        <w:t>, we always allow time for RX beam sweeping. If P</w:t>
      </w:r>
      <w:r w:rsidR="002A215F">
        <w:rPr>
          <w:lang w:val="en-GB"/>
        </w:rPr>
        <w:t>L</w:t>
      </w:r>
      <w:r>
        <w:rPr>
          <w:lang w:val="en-GB"/>
        </w:rPr>
        <w:t>-R</w:t>
      </w:r>
      <w:r w:rsidR="002A215F">
        <w:rPr>
          <w:lang w:val="en-GB"/>
        </w:rPr>
        <w:t>S</w:t>
      </w:r>
      <w:r>
        <w:rPr>
          <w:lang w:val="en-GB"/>
        </w:rPr>
        <w:t xml:space="preserve"> is not maintained by the </w:t>
      </w:r>
      <w:r w:rsidR="002A215F">
        <w:rPr>
          <w:lang w:val="en-GB"/>
        </w:rPr>
        <w:t>UE,</w:t>
      </w:r>
      <w:r>
        <w:rPr>
          <w:lang w:val="en-GB"/>
        </w:rPr>
        <w:t xml:space="preserve"> then additional time is needed for pathloss measurement. If the indicated PL-RS is SSB</w:t>
      </w:r>
      <w:r w:rsidR="002A215F">
        <w:rPr>
          <w:lang w:val="en-GB"/>
        </w:rPr>
        <w:t xml:space="preserve"> in FR2</w:t>
      </w:r>
      <w:r>
        <w:rPr>
          <w:lang w:val="en-GB"/>
        </w:rPr>
        <w:t xml:space="preserve">, then </w:t>
      </w:r>
      <w:r w:rsidR="002A215F">
        <w:rPr>
          <w:lang w:val="en-GB"/>
        </w:rPr>
        <w:t xml:space="preserve">the measurement time should also account for RX beam sweep time. </w:t>
      </w:r>
      <w:r w:rsidR="00871E02">
        <w:rPr>
          <w:lang w:val="en-GB"/>
        </w:rPr>
        <w:t>Hence,</w:t>
      </w:r>
      <w:r w:rsidR="002A215F">
        <w:rPr>
          <w:lang w:val="en-GB"/>
        </w:rPr>
        <w:t xml:space="preserve"> we propose to include that additional delay is expected when </w:t>
      </w:r>
      <w:r w:rsidR="00871E02">
        <w:rPr>
          <w:lang w:val="en-GB"/>
        </w:rPr>
        <w:t>SSB is PL-RS in UL TCI state switch in FR2.</w:t>
      </w:r>
    </w:p>
    <w:p w14:paraId="3AFC205B" w14:textId="278D6F30" w:rsidR="00871E02" w:rsidRDefault="00871E02" w:rsidP="00EE08F2">
      <w:pPr>
        <w:spacing w:after="120"/>
        <w:rPr>
          <w:b/>
          <w:bCs/>
          <w:lang w:val="en-GB"/>
        </w:rPr>
      </w:pPr>
      <w:r>
        <w:rPr>
          <w:b/>
          <w:bCs/>
          <w:lang w:val="en-GB"/>
        </w:rPr>
        <w:t>Proposal #2: When PL-RS in UL TCI state switch is SSB in FR2, longer delay is expected.</w:t>
      </w:r>
    </w:p>
    <w:p w14:paraId="77EF5941" w14:textId="20EDF32B" w:rsidR="00871E02" w:rsidRDefault="00A630E1" w:rsidP="00EE08F2">
      <w:pPr>
        <w:spacing w:after="120"/>
        <w:rPr>
          <w:lang w:val="en-GB"/>
        </w:rPr>
      </w:pPr>
      <w:r>
        <w:rPr>
          <w:lang w:val="en-GB"/>
        </w:rPr>
        <w:t>In Option 2 above, a definition for maintained is proposed. PL-RS maintained definition cannot be based on L1 measurement report. UE needs to maintain up to 4 PL-</w:t>
      </w:r>
      <w:r w:rsidR="004224DC">
        <w:rPr>
          <w:lang w:val="en-GB"/>
        </w:rPr>
        <w:t>RS but</w:t>
      </w:r>
      <w:r>
        <w:rPr>
          <w:lang w:val="en-GB"/>
        </w:rPr>
        <w:t xml:space="preserve"> may be configured for L1-RSRP report for many more than 4 resources. Hence, UE report of L1-RSRP cannot guarantee that PL-RS is maintained.</w:t>
      </w:r>
    </w:p>
    <w:p w14:paraId="5F29AFED" w14:textId="5F6E632B" w:rsidR="00A630E1" w:rsidRDefault="00A630E1" w:rsidP="00EE08F2">
      <w:pPr>
        <w:spacing w:after="120"/>
        <w:rPr>
          <w:i/>
          <w:iCs/>
          <w:lang w:val="en-GB"/>
        </w:rPr>
      </w:pPr>
      <w:r>
        <w:rPr>
          <w:b/>
          <w:bCs/>
          <w:i/>
          <w:iCs/>
          <w:lang w:val="en-GB"/>
        </w:rPr>
        <w:t xml:space="preserve">Observation #1: </w:t>
      </w:r>
      <w:r>
        <w:rPr>
          <w:i/>
          <w:iCs/>
          <w:lang w:val="en-GB"/>
        </w:rPr>
        <w:t>UE needs to maintain up to 4 RS but might measure and report L1-RSRP on more resources. UE report of L1-RSRP report cannot guarantee that PL-RS is maintained.</w:t>
      </w:r>
    </w:p>
    <w:p w14:paraId="37BF8AE9" w14:textId="0FF53226" w:rsidR="001F7C1D" w:rsidRDefault="00A630E1" w:rsidP="00EE08F2">
      <w:pPr>
        <w:spacing w:after="120"/>
        <w:rPr>
          <w:lang w:val="en-GB"/>
        </w:rPr>
      </w:pPr>
      <w:r>
        <w:rPr>
          <w:lang w:val="en-GB"/>
        </w:rPr>
        <w:t xml:space="preserve">PL-RS is maintained when the number of activated PL-RS is up to 4. </w:t>
      </w:r>
      <w:r w:rsidR="00597160">
        <w:rPr>
          <w:lang w:val="en-GB"/>
        </w:rPr>
        <w:t xml:space="preserve">In RAN4 we can introduce </w:t>
      </w:r>
      <w:r w:rsidR="004224DC">
        <w:rPr>
          <w:lang w:val="en-GB"/>
        </w:rPr>
        <w:t>definition,</w:t>
      </w:r>
      <w:r w:rsidR="00597160">
        <w:rPr>
          <w:lang w:val="en-GB"/>
        </w:rPr>
        <w:t xml:space="preserve"> if </w:t>
      </w:r>
      <w:r w:rsidR="004224DC">
        <w:rPr>
          <w:lang w:val="en-GB"/>
        </w:rPr>
        <w:t>necessary,</w:t>
      </w:r>
      <w:r w:rsidR="00597160">
        <w:rPr>
          <w:lang w:val="en-GB"/>
        </w:rPr>
        <w:t xml:space="preserve"> based on</w:t>
      </w:r>
      <w:r w:rsidR="004224DC">
        <w:rPr>
          <w:lang w:val="en-GB"/>
        </w:rPr>
        <w:t xml:space="preserve"> number of activated PL-RS.</w:t>
      </w:r>
    </w:p>
    <w:p w14:paraId="759847F8" w14:textId="7E14275C" w:rsidR="004224DC" w:rsidRDefault="004224DC" w:rsidP="00EE08F2">
      <w:pPr>
        <w:spacing w:after="120"/>
        <w:rPr>
          <w:b/>
          <w:bCs/>
          <w:lang w:val="en-GB"/>
        </w:rPr>
      </w:pPr>
      <w:r>
        <w:rPr>
          <w:b/>
          <w:bCs/>
          <w:lang w:val="en-GB"/>
        </w:rPr>
        <w:t>Proposal #3: If necessary, introduce definition of maintained PL-RS based on number of activated PL-RS.</w:t>
      </w:r>
    </w:p>
    <w:p w14:paraId="68EB4760" w14:textId="77777777" w:rsidR="004224DC" w:rsidRPr="004224DC" w:rsidRDefault="004224DC" w:rsidP="00EE08F2">
      <w:pPr>
        <w:spacing w:after="120"/>
        <w:rPr>
          <w:b/>
          <w:bCs/>
          <w:lang w:val="en-GB"/>
        </w:rPr>
      </w:pPr>
    </w:p>
    <w:p w14:paraId="3915DB3A" w14:textId="489E51A3" w:rsidR="00D24AF7" w:rsidRPr="007F735F" w:rsidRDefault="00D24AF7" w:rsidP="00D24AF7">
      <w:pPr>
        <w:spacing w:after="120"/>
        <w:rPr>
          <w:b/>
          <w:bCs/>
          <w:u w:val="single"/>
          <w:lang w:val="en-GB"/>
        </w:rPr>
      </w:pPr>
      <w:r w:rsidRPr="007F735F">
        <w:rPr>
          <w:b/>
          <w:bCs/>
          <w:u w:val="single"/>
          <w:lang w:val="en-GB"/>
        </w:rPr>
        <w:t>Requirement applicability of DCI based UL TCI state switching delay</w:t>
      </w:r>
    </w:p>
    <w:p w14:paraId="72319E5C" w14:textId="3AE8EAFC" w:rsidR="00D24AF7" w:rsidRDefault="00952B06" w:rsidP="004224DC">
      <w:pPr>
        <w:rPr>
          <w:lang w:val="en-GB"/>
        </w:rPr>
      </w:pPr>
      <w:r>
        <w:rPr>
          <w:lang w:val="en-GB"/>
        </w:rPr>
        <w:t>We have the following agreement in [1] on requirement applicability of DCI based UL TCI state switching delay:</w:t>
      </w:r>
    </w:p>
    <w:tbl>
      <w:tblPr>
        <w:tblStyle w:val="TableGrid"/>
        <w:tblW w:w="0" w:type="auto"/>
        <w:tblLook w:val="04A0" w:firstRow="1" w:lastRow="0" w:firstColumn="1" w:lastColumn="0" w:noHBand="0" w:noVBand="1"/>
      </w:tblPr>
      <w:tblGrid>
        <w:gridCol w:w="9350"/>
      </w:tblGrid>
      <w:tr w:rsidR="00952B06" w14:paraId="41A777CC" w14:textId="77777777" w:rsidTr="00952B06">
        <w:tc>
          <w:tcPr>
            <w:tcW w:w="9350" w:type="dxa"/>
          </w:tcPr>
          <w:p w14:paraId="6E943B57" w14:textId="77777777" w:rsidR="00952B06" w:rsidRPr="00952B06" w:rsidRDefault="00952B06" w:rsidP="00952B06">
            <w:pPr>
              <w:rPr>
                <w:bCs/>
                <w:lang w:val="en-GB"/>
              </w:rPr>
            </w:pPr>
            <w:r w:rsidRPr="00952B06">
              <w:rPr>
                <w:bCs/>
                <w:lang w:val="en-GB"/>
              </w:rPr>
              <w:t>Agreement:</w:t>
            </w:r>
          </w:p>
          <w:p w14:paraId="47B55AFC" w14:textId="77777777" w:rsidR="00952B06" w:rsidRPr="00952B06" w:rsidRDefault="00952B06" w:rsidP="00952B06">
            <w:pPr>
              <w:numPr>
                <w:ilvl w:val="1"/>
                <w:numId w:val="9"/>
              </w:numPr>
              <w:rPr>
                <w:lang w:val="sv-SE"/>
              </w:rPr>
            </w:pPr>
            <w:proofErr w:type="spellStart"/>
            <w:r w:rsidRPr="00952B06">
              <w:rPr>
                <w:lang w:val="sv-SE"/>
              </w:rPr>
              <w:t>When</w:t>
            </w:r>
            <w:proofErr w:type="spellEnd"/>
            <w:r w:rsidRPr="00952B06">
              <w:rPr>
                <w:lang w:val="sv-SE"/>
              </w:rPr>
              <w:t xml:space="preserve"> </w:t>
            </w:r>
            <w:proofErr w:type="spellStart"/>
            <w:r w:rsidRPr="00952B06">
              <w:rPr>
                <w:lang w:val="sv-SE"/>
              </w:rPr>
              <w:t>target</w:t>
            </w:r>
            <w:proofErr w:type="spellEnd"/>
            <w:r w:rsidRPr="00952B06">
              <w:rPr>
                <w:lang w:val="sv-SE"/>
              </w:rPr>
              <w:t xml:space="preserve"> TCI </w:t>
            </w:r>
            <w:proofErr w:type="spellStart"/>
            <w:r w:rsidRPr="00952B06">
              <w:rPr>
                <w:lang w:val="sv-SE"/>
              </w:rPr>
              <w:t>state</w:t>
            </w:r>
            <w:proofErr w:type="spellEnd"/>
            <w:r w:rsidRPr="00952B06">
              <w:rPr>
                <w:lang w:val="sv-SE"/>
              </w:rPr>
              <w:t xml:space="preserve"> is </w:t>
            </w:r>
            <w:proofErr w:type="spellStart"/>
            <w:r w:rsidRPr="00952B06">
              <w:rPr>
                <w:lang w:val="sv-SE"/>
              </w:rPr>
              <w:t>known</w:t>
            </w:r>
            <w:proofErr w:type="spellEnd"/>
          </w:p>
          <w:p w14:paraId="1370626C" w14:textId="77777777" w:rsidR="00952B06" w:rsidRPr="00952B06" w:rsidRDefault="00952B06" w:rsidP="00952B06">
            <w:pPr>
              <w:numPr>
                <w:ilvl w:val="1"/>
                <w:numId w:val="9"/>
              </w:numPr>
              <w:rPr>
                <w:lang w:val="en-GB"/>
              </w:rPr>
            </w:pPr>
            <w:r w:rsidRPr="00952B06">
              <w:rPr>
                <w:rFonts w:hint="eastAsia"/>
                <w:lang w:val="en-GB"/>
              </w:rPr>
              <w:t>When target TCI state</w:t>
            </w:r>
            <w:r w:rsidRPr="00952B06">
              <w:rPr>
                <w:lang w:val="en-GB"/>
              </w:rPr>
              <w:t xml:space="preserve"> for DL or Joint TCI</w:t>
            </w:r>
            <w:r w:rsidRPr="00952B06">
              <w:rPr>
                <w:rFonts w:hint="eastAsia"/>
                <w:lang w:val="en-GB"/>
              </w:rPr>
              <w:t xml:space="preserve"> is in active TCI state list</w:t>
            </w:r>
          </w:p>
          <w:p w14:paraId="597C79C9" w14:textId="77777777" w:rsidR="00952B06" w:rsidRPr="00952B06" w:rsidRDefault="00952B06" w:rsidP="00952B06">
            <w:pPr>
              <w:numPr>
                <w:ilvl w:val="1"/>
                <w:numId w:val="9"/>
              </w:numPr>
              <w:rPr>
                <w:lang w:val="en-GB"/>
              </w:rPr>
            </w:pPr>
            <w:r w:rsidRPr="00952B06">
              <w:rPr>
                <w:lang w:val="en-GB"/>
              </w:rPr>
              <w:t>PL-RS is maintained for UL or Joint TCI state switch</w:t>
            </w:r>
          </w:p>
          <w:p w14:paraId="175908D6" w14:textId="77777777" w:rsidR="00952B06" w:rsidRPr="00952B06" w:rsidRDefault="00952B06" w:rsidP="00952B06">
            <w:pPr>
              <w:numPr>
                <w:ilvl w:val="2"/>
                <w:numId w:val="10"/>
              </w:numPr>
              <w:rPr>
                <w:lang w:val="en-GB"/>
              </w:rPr>
            </w:pPr>
            <w:r w:rsidRPr="00952B06">
              <w:rPr>
                <w:lang w:val="en-GB"/>
              </w:rPr>
              <w:t>The status “PL-RS is maintained” should be further explained with conditions</w:t>
            </w:r>
            <w:r w:rsidRPr="00952B06">
              <w:rPr>
                <w:lang w:val="en-GB"/>
              </w:rPr>
              <w:br/>
              <w:t>(ex. number of samples, accuracy, ways of external indication of the maintenance etc)</w:t>
            </w:r>
          </w:p>
          <w:p w14:paraId="4DB4B409" w14:textId="77777777" w:rsidR="00952B06" w:rsidRPr="00952B06" w:rsidRDefault="00952B06" w:rsidP="00952B06">
            <w:pPr>
              <w:numPr>
                <w:ilvl w:val="1"/>
                <w:numId w:val="9"/>
              </w:numPr>
              <w:rPr>
                <w:bCs/>
              </w:rPr>
            </w:pPr>
            <w:r w:rsidRPr="00952B06">
              <w:rPr>
                <w:bCs/>
              </w:rPr>
              <w:t>FFS: A UE tracks time and/or frequency on DL-RS associated with active UL TCI.</w:t>
            </w:r>
          </w:p>
          <w:p w14:paraId="586F51F1" w14:textId="77777777" w:rsidR="00952B06" w:rsidRDefault="00952B06" w:rsidP="004224DC">
            <w:pPr>
              <w:rPr>
                <w:lang w:val="en-GB"/>
              </w:rPr>
            </w:pPr>
          </w:p>
        </w:tc>
      </w:tr>
    </w:tbl>
    <w:p w14:paraId="148B963F" w14:textId="15DEB141" w:rsidR="00952B06" w:rsidRDefault="00952B06" w:rsidP="004224DC">
      <w:pPr>
        <w:rPr>
          <w:lang w:val="en-GB"/>
        </w:rPr>
      </w:pPr>
    </w:p>
    <w:p w14:paraId="1B42D2EC" w14:textId="609E076C" w:rsidR="00952B06" w:rsidRPr="004224DC" w:rsidRDefault="00952B06" w:rsidP="004224DC">
      <w:pPr>
        <w:rPr>
          <w:lang w:val="en-GB"/>
        </w:rPr>
      </w:pPr>
      <w:r>
        <w:rPr>
          <w:lang w:val="en-GB"/>
        </w:rPr>
        <w:lastRenderedPageBreak/>
        <w:t xml:space="preserve">It is FFS if UE tracks time and/or frequency on DL-RS associated with active UL TCI. </w:t>
      </w:r>
      <w:r w:rsidR="00055D42">
        <w:rPr>
          <w:lang w:val="en-GB"/>
        </w:rPr>
        <w:t xml:space="preserve">The UL TCI state indicates the TX beam the UE should use. </w:t>
      </w:r>
      <w:r w:rsidR="00E35583">
        <w:rPr>
          <w:lang w:val="en-GB"/>
        </w:rPr>
        <w:t>SRS or DL-RS can be indicated as the UL TCI state. The DL timing is determined by the DL TCI state and UL timing is derived based on the serving cell timing. The DL-RS associated with UL TCI state shouldn’t be used for U</w:t>
      </w:r>
      <w:r w:rsidR="001B0806">
        <w:rPr>
          <w:lang w:val="en-GB"/>
        </w:rPr>
        <w:t>L</w:t>
      </w:r>
      <w:r w:rsidR="00E35583">
        <w:rPr>
          <w:lang w:val="en-GB"/>
        </w:rPr>
        <w:t xml:space="preserve"> timing. If different signals use different UL TCI states, it would not be practical to use multiple UL timing reference to transmit on the UL. Hence, we don’t think time/frequency tracking is needed on DL-RS associated with UL TCI state for UL transmission. </w:t>
      </w:r>
    </w:p>
    <w:p w14:paraId="33522A68" w14:textId="58D82B3A" w:rsidR="00D24AF7" w:rsidRDefault="00D24AF7" w:rsidP="00D24AF7">
      <w:pPr>
        <w:spacing w:after="120"/>
        <w:rPr>
          <w:lang w:val="en-GB"/>
        </w:rPr>
      </w:pPr>
    </w:p>
    <w:p w14:paraId="77FF3884" w14:textId="3474F828" w:rsidR="00E35583" w:rsidRPr="00E35583" w:rsidRDefault="00E35583" w:rsidP="00D24AF7">
      <w:pPr>
        <w:spacing w:after="120"/>
        <w:rPr>
          <w:b/>
          <w:bCs/>
          <w:lang w:val="en-GB"/>
        </w:rPr>
      </w:pPr>
      <w:r>
        <w:rPr>
          <w:b/>
          <w:bCs/>
          <w:lang w:val="en-GB"/>
        </w:rPr>
        <w:t xml:space="preserve">Proposal #4: UE need not track UL time/frequency for DL-RS associated with active UL TCI state for UL transmission. </w:t>
      </w:r>
    </w:p>
    <w:p w14:paraId="168815F1" w14:textId="77777777" w:rsidR="00D24AF7" w:rsidRPr="007F735F" w:rsidRDefault="00D24AF7" w:rsidP="00D24AF7">
      <w:pPr>
        <w:spacing w:after="120"/>
        <w:rPr>
          <w:b/>
          <w:bCs/>
          <w:u w:val="single"/>
          <w:lang w:val="en-GB"/>
        </w:rPr>
      </w:pPr>
      <w:r w:rsidRPr="007F735F">
        <w:rPr>
          <w:b/>
          <w:bCs/>
          <w:u w:val="single"/>
          <w:lang w:val="en-GB"/>
        </w:rPr>
        <w:t>Whether to consider unknown TCI state in the TCI state list</w:t>
      </w:r>
    </w:p>
    <w:p w14:paraId="668E8336" w14:textId="77777777" w:rsidR="00507A09" w:rsidRDefault="004252CA" w:rsidP="00EE08F2">
      <w:pPr>
        <w:spacing w:after="120"/>
        <w:rPr>
          <w:lang w:val="en-GB"/>
        </w:rPr>
      </w:pPr>
      <w:r>
        <w:rPr>
          <w:lang w:val="en-GB"/>
        </w:rPr>
        <w:t xml:space="preserve">For unified TCI, we defined requirements for TCI state list update. Requirements are only defined for known TCI state. The purpose of defining requirements for TCI state list update is to cover the scenario where MAC CE activates a TCI state list and DCI indicates the active TCI state. Unknown TCI state would result in longer delay for TCI state list activation and might not be the main purpose of MAC-CE+DCI based TCI state switch. Hence, we don’t think it is necessary to introduce requirements for unknown TCI state in TCI state list update. If necessary, we can capture that longer delay is expected if any </w:t>
      </w:r>
      <w:r w:rsidR="00507A09">
        <w:rPr>
          <w:lang w:val="en-GB"/>
        </w:rPr>
        <w:t xml:space="preserve">of the TCI </w:t>
      </w:r>
      <w:r>
        <w:rPr>
          <w:lang w:val="en-GB"/>
        </w:rPr>
        <w:t>state</w:t>
      </w:r>
      <w:r w:rsidR="00507A09">
        <w:rPr>
          <w:lang w:val="en-GB"/>
        </w:rPr>
        <w:t>s in the list to be activated are unknown.</w:t>
      </w:r>
    </w:p>
    <w:p w14:paraId="0DCF3D51" w14:textId="78CE5CB6" w:rsidR="00507A09" w:rsidRDefault="00507A09" w:rsidP="00EE08F2">
      <w:pPr>
        <w:spacing w:after="120"/>
        <w:rPr>
          <w:b/>
          <w:bCs/>
          <w:lang w:val="en-GB"/>
        </w:rPr>
      </w:pPr>
      <w:r>
        <w:rPr>
          <w:b/>
          <w:bCs/>
          <w:lang w:val="en-GB"/>
        </w:rPr>
        <w:t xml:space="preserve">Proposal #5: Do </w:t>
      </w:r>
      <w:r w:rsidR="009A55AB">
        <w:rPr>
          <w:b/>
          <w:bCs/>
          <w:lang w:val="en-GB"/>
        </w:rPr>
        <w:t>consider</w:t>
      </w:r>
      <w:r>
        <w:rPr>
          <w:b/>
          <w:bCs/>
          <w:lang w:val="en-GB"/>
        </w:rPr>
        <w:t xml:space="preserve"> unknown TCI state in TCI state list update delay requirements.</w:t>
      </w:r>
    </w:p>
    <w:p w14:paraId="55B2F8A1" w14:textId="376DBBB9" w:rsidR="00D24AF7" w:rsidRDefault="00507A09" w:rsidP="00EE08F2">
      <w:pPr>
        <w:spacing w:after="120"/>
        <w:rPr>
          <w:lang w:val="en-GB"/>
        </w:rPr>
      </w:pPr>
      <w:r>
        <w:rPr>
          <w:b/>
          <w:bCs/>
          <w:lang w:val="en-GB"/>
        </w:rPr>
        <w:t>Proposal #6: We can capture that longer delay applies if any TCI state is unknown in TCI state list update.</w:t>
      </w:r>
      <w:r w:rsidR="004252CA">
        <w:rPr>
          <w:lang w:val="en-GB"/>
        </w:rPr>
        <w:t xml:space="preserve"> </w:t>
      </w:r>
    </w:p>
    <w:p w14:paraId="697CF873" w14:textId="77777777" w:rsidR="00D24AF7" w:rsidRDefault="00D24AF7" w:rsidP="00EE08F2">
      <w:pPr>
        <w:spacing w:after="120"/>
        <w:rPr>
          <w:lang w:val="en-GB"/>
        </w:rPr>
      </w:pPr>
    </w:p>
    <w:p w14:paraId="082A5770" w14:textId="77777777" w:rsidR="00D24AF7" w:rsidRPr="00EE08F2" w:rsidRDefault="00D24AF7" w:rsidP="00EE08F2">
      <w:pPr>
        <w:spacing w:after="120"/>
        <w:rPr>
          <w:lang w:val="en-GB"/>
        </w:rPr>
      </w:pPr>
    </w:p>
    <w:p w14:paraId="0B3141EF" w14:textId="77777777" w:rsidR="009F52D7" w:rsidRPr="002F79EB" w:rsidRDefault="009F52D7" w:rsidP="009F52D7">
      <w:pPr>
        <w:pStyle w:val="Heading1"/>
        <w:rPr>
          <w:lang w:val="en-US"/>
        </w:rPr>
      </w:pPr>
      <w:r>
        <w:rPr>
          <w:lang w:val="en-US"/>
        </w:rPr>
        <w:t>3. Conclusion</w:t>
      </w:r>
    </w:p>
    <w:p w14:paraId="7BBB2F9C" w14:textId="61B2D29C" w:rsidR="009F52D7" w:rsidRPr="005B410D" w:rsidRDefault="009F52D7" w:rsidP="005B410D">
      <w:pPr>
        <w:spacing w:after="120"/>
        <w:rPr>
          <w:sz w:val="20"/>
          <w:szCs w:val="20"/>
        </w:rPr>
      </w:pPr>
      <w:r w:rsidRPr="00D023C8">
        <w:rPr>
          <w:sz w:val="20"/>
          <w:szCs w:val="20"/>
        </w:rPr>
        <w:t xml:space="preserve">In this paper, we provide our </w:t>
      </w:r>
      <w:r w:rsidR="001B05EC" w:rsidRPr="00D023C8">
        <w:rPr>
          <w:sz w:val="20"/>
          <w:szCs w:val="20"/>
        </w:rPr>
        <w:t>views on open issues on requirements for unified TCI.</w:t>
      </w:r>
      <w:r w:rsidRPr="00D023C8">
        <w:rPr>
          <w:sz w:val="20"/>
          <w:szCs w:val="20"/>
        </w:rPr>
        <w:t xml:space="preserve"> Our observations and proposals are captured below:</w:t>
      </w:r>
    </w:p>
    <w:p w14:paraId="6171FA16" w14:textId="77777777" w:rsidR="009A55AB" w:rsidRPr="00C1785B" w:rsidRDefault="009A55AB" w:rsidP="009A55AB">
      <w:pPr>
        <w:spacing w:after="120"/>
        <w:rPr>
          <w:b/>
          <w:bCs/>
          <w:lang w:val="en-GB"/>
        </w:rPr>
      </w:pPr>
      <w:r>
        <w:rPr>
          <w:b/>
          <w:bCs/>
          <w:lang w:val="en-GB"/>
        </w:rPr>
        <w:t xml:space="preserve">Proposal #1: Honour the previous agreements that for joint TCI state switch UE is not expected to receive on the DL or transmit on the UL until it completes both UL and DL TCI state switch. </w:t>
      </w:r>
    </w:p>
    <w:p w14:paraId="6C93FB0D" w14:textId="77777777" w:rsidR="009A55AB" w:rsidRDefault="009A55AB" w:rsidP="009A55AB">
      <w:pPr>
        <w:spacing w:after="120"/>
        <w:rPr>
          <w:b/>
          <w:bCs/>
          <w:lang w:val="en-GB"/>
        </w:rPr>
      </w:pPr>
      <w:r>
        <w:rPr>
          <w:b/>
          <w:bCs/>
          <w:lang w:val="en-GB"/>
        </w:rPr>
        <w:t>Proposal #2: When PL-RS in UL TCI state switch is SSB in FR2, longer delay is expected.</w:t>
      </w:r>
    </w:p>
    <w:p w14:paraId="0413127E" w14:textId="77777777" w:rsidR="009A55AB" w:rsidRDefault="009A55AB" w:rsidP="009A55AB">
      <w:pPr>
        <w:spacing w:after="120"/>
        <w:rPr>
          <w:i/>
          <w:iCs/>
          <w:lang w:val="en-GB"/>
        </w:rPr>
      </w:pPr>
      <w:r>
        <w:rPr>
          <w:b/>
          <w:bCs/>
          <w:i/>
          <w:iCs/>
          <w:lang w:val="en-GB"/>
        </w:rPr>
        <w:t xml:space="preserve">Observation #1: </w:t>
      </w:r>
      <w:r>
        <w:rPr>
          <w:i/>
          <w:iCs/>
          <w:lang w:val="en-GB"/>
        </w:rPr>
        <w:t>UE needs to maintain up to 4 RS but might measure and report L1-RSRP on more resources. UE report of L1-RSRP report cannot guarantee that PL-RS is maintained.</w:t>
      </w:r>
    </w:p>
    <w:p w14:paraId="6AB92D7C" w14:textId="77777777" w:rsidR="009A55AB" w:rsidRDefault="009A55AB" w:rsidP="009A55AB">
      <w:pPr>
        <w:spacing w:after="120"/>
        <w:rPr>
          <w:b/>
          <w:bCs/>
          <w:lang w:val="en-GB"/>
        </w:rPr>
      </w:pPr>
      <w:r>
        <w:rPr>
          <w:b/>
          <w:bCs/>
          <w:lang w:val="en-GB"/>
        </w:rPr>
        <w:t>Proposal #3: If necessary, introduce definition of maintained PL-RS based on number of activated PL-RS.</w:t>
      </w:r>
    </w:p>
    <w:p w14:paraId="5D12D359" w14:textId="77777777" w:rsidR="009A55AB" w:rsidRPr="00E35583" w:rsidRDefault="009A55AB" w:rsidP="009A55AB">
      <w:pPr>
        <w:spacing w:after="120"/>
        <w:rPr>
          <w:b/>
          <w:bCs/>
          <w:lang w:val="en-GB"/>
        </w:rPr>
      </w:pPr>
      <w:r>
        <w:rPr>
          <w:b/>
          <w:bCs/>
          <w:lang w:val="en-GB"/>
        </w:rPr>
        <w:t xml:space="preserve">Proposal #4: UE need not track UL time/frequency for DL-RS associated with active UL TCI state for UL transmission. </w:t>
      </w:r>
    </w:p>
    <w:p w14:paraId="3642ED5A" w14:textId="77777777" w:rsidR="009A55AB" w:rsidRDefault="009A55AB" w:rsidP="009A55AB">
      <w:pPr>
        <w:spacing w:after="120"/>
        <w:rPr>
          <w:b/>
          <w:bCs/>
          <w:lang w:val="en-GB"/>
        </w:rPr>
      </w:pPr>
      <w:r>
        <w:rPr>
          <w:b/>
          <w:bCs/>
          <w:lang w:val="en-GB"/>
        </w:rPr>
        <w:t>Proposal #5: Do consider unknown TCI state in TCI state list update delay requirements.</w:t>
      </w:r>
    </w:p>
    <w:p w14:paraId="571E5FF1" w14:textId="30696A0F" w:rsidR="009F52D7" w:rsidRPr="009A55AB" w:rsidRDefault="009A55AB" w:rsidP="005B410D">
      <w:pPr>
        <w:spacing w:after="120"/>
        <w:rPr>
          <w:lang w:val="en-GB"/>
        </w:rPr>
      </w:pPr>
      <w:r>
        <w:rPr>
          <w:b/>
          <w:bCs/>
          <w:lang w:val="en-GB"/>
        </w:rPr>
        <w:t>Proposal #6: We can capture that longer delay applies if any TCI state is unknown in TCI state list update.</w:t>
      </w:r>
      <w:r>
        <w:rPr>
          <w:lang w:val="en-GB"/>
        </w:rPr>
        <w:t xml:space="preserve">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509A2F1D" w14:textId="77BD2156" w:rsidR="00C94AC7" w:rsidRPr="00900F20" w:rsidRDefault="003D3197" w:rsidP="00C94AC7">
      <w:pPr>
        <w:pStyle w:val="ListParagraph"/>
        <w:numPr>
          <w:ilvl w:val="0"/>
          <w:numId w:val="2"/>
        </w:numPr>
        <w:spacing w:after="120"/>
        <w:ind w:firstLineChars="0"/>
        <w:jc w:val="both"/>
        <w:rPr>
          <w:rFonts w:ascii="Times New Roman" w:hAnsi="Times New Roman" w:cs="Times New Roman"/>
          <w:sz w:val="20"/>
          <w:szCs w:val="20"/>
        </w:rPr>
      </w:pPr>
      <w:r w:rsidRPr="003D3197">
        <w:rPr>
          <w:rFonts w:ascii="Times New Roman" w:hAnsi="Times New Roman" w:cs="Times New Roman"/>
          <w:sz w:val="20"/>
          <w:szCs w:val="20"/>
          <w:lang w:val="en-GB"/>
        </w:rPr>
        <w:t>R4-2211203</w:t>
      </w:r>
      <w:r w:rsidR="00C94AC7" w:rsidRPr="00900F20">
        <w:rPr>
          <w:rFonts w:ascii="Times New Roman" w:hAnsi="Times New Roman" w:cs="Times New Roman"/>
          <w:sz w:val="20"/>
          <w:szCs w:val="20"/>
        </w:rPr>
        <w:t>, “</w:t>
      </w:r>
      <w:r w:rsidR="00900F20" w:rsidRPr="00900F20">
        <w:rPr>
          <w:rFonts w:ascii="Times New Roman" w:hAnsi="Times New Roman" w:cs="Times New Roman"/>
          <w:sz w:val="20"/>
          <w:szCs w:val="20"/>
        </w:rPr>
        <w:t xml:space="preserve">WF on </w:t>
      </w:r>
      <w:proofErr w:type="spellStart"/>
      <w:r w:rsidR="00900F20" w:rsidRPr="00900F20">
        <w:rPr>
          <w:rFonts w:ascii="Times New Roman" w:hAnsi="Times New Roman" w:cs="Times New Roman"/>
          <w:sz w:val="20"/>
          <w:szCs w:val="20"/>
        </w:rPr>
        <w:t>FeMIMO</w:t>
      </w:r>
      <w:proofErr w:type="spellEnd"/>
      <w:r w:rsidR="00900F20" w:rsidRPr="00900F20">
        <w:rPr>
          <w:rFonts w:ascii="Times New Roman" w:hAnsi="Times New Roman" w:cs="Times New Roman"/>
          <w:sz w:val="20"/>
          <w:szCs w:val="20"/>
        </w:rPr>
        <w:t xml:space="preserve"> RRM impact for unified TCI state</w:t>
      </w:r>
      <w:r w:rsidR="00C94AC7" w:rsidRPr="00900F20">
        <w:rPr>
          <w:rFonts w:ascii="Times New Roman" w:hAnsi="Times New Roman" w:cs="Times New Roman"/>
          <w:sz w:val="20"/>
          <w:szCs w:val="20"/>
        </w:rPr>
        <w:t xml:space="preserve">”, </w:t>
      </w:r>
      <w:r w:rsidR="00900F20" w:rsidRPr="00900F20">
        <w:rPr>
          <w:rFonts w:ascii="Times New Roman" w:hAnsi="Times New Roman" w:cs="Times New Roman"/>
          <w:sz w:val="20"/>
          <w:szCs w:val="20"/>
        </w:rPr>
        <w:t>Intel</w:t>
      </w:r>
      <w:r w:rsidR="00C94AC7" w:rsidRPr="00900F20">
        <w:rPr>
          <w:rFonts w:ascii="Times New Roman" w:hAnsi="Times New Roman" w:cs="Times New Roman"/>
          <w:sz w:val="20"/>
          <w:szCs w:val="20"/>
        </w:rPr>
        <w:t xml:space="preserve">.  </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44664E44"/>
    <w:multiLevelType w:val="hybridMultilevel"/>
    <w:tmpl w:val="77A4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62756ED7"/>
    <w:multiLevelType w:val="hybridMultilevel"/>
    <w:tmpl w:val="EE944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hybridMultilevel"/>
    <w:tmpl w:val="66FC4D78"/>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259338048">
    <w:abstractNumId w:val="4"/>
  </w:num>
  <w:num w:numId="2" w16cid:durableId="1198423226">
    <w:abstractNumId w:val="7"/>
  </w:num>
  <w:num w:numId="3" w16cid:durableId="1871456649">
    <w:abstractNumId w:val="8"/>
  </w:num>
  <w:num w:numId="4" w16cid:durableId="1158231064">
    <w:abstractNumId w:val="6"/>
  </w:num>
  <w:num w:numId="5" w16cid:durableId="1788499240">
    <w:abstractNumId w:val="0"/>
  </w:num>
  <w:num w:numId="6" w16cid:durableId="949170584">
    <w:abstractNumId w:val="9"/>
  </w:num>
  <w:num w:numId="7" w16cid:durableId="1625695131">
    <w:abstractNumId w:val="2"/>
  </w:num>
  <w:num w:numId="8" w16cid:durableId="619843083">
    <w:abstractNumId w:val="5"/>
  </w:num>
  <w:num w:numId="9" w16cid:durableId="1216552407">
    <w:abstractNumId w:val="3"/>
  </w:num>
  <w:num w:numId="10" w16cid:durableId="1991903615">
    <w:abstractNumId w:val="1"/>
  </w:num>
  <w:num w:numId="11" w16cid:durableId="136455642">
    <w:abstractNumId w:val="11"/>
  </w:num>
  <w:num w:numId="12" w16cid:durableId="10665364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13E10"/>
    <w:rsid w:val="0003629C"/>
    <w:rsid w:val="00055D42"/>
    <w:rsid w:val="000851A9"/>
    <w:rsid w:val="000A6ED6"/>
    <w:rsid w:val="0011246B"/>
    <w:rsid w:val="00121828"/>
    <w:rsid w:val="00140D93"/>
    <w:rsid w:val="00143857"/>
    <w:rsid w:val="00177147"/>
    <w:rsid w:val="001B05EC"/>
    <w:rsid w:val="001B0806"/>
    <w:rsid w:val="001B5D0A"/>
    <w:rsid w:val="001C663E"/>
    <w:rsid w:val="001F7C1D"/>
    <w:rsid w:val="002106FF"/>
    <w:rsid w:val="0021305F"/>
    <w:rsid w:val="0028702C"/>
    <w:rsid w:val="002870EA"/>
    <w:rsid w:val="00297C6E"/>
    <w:rsid w:val="002A215F"/>
    <w:rsid w:val="002A7624"/>
    <w:rsid w:val="002F189E"/>
    <w:rsid w:val="002F2200"/>
    <w:rsid w:val="002F4FA3"/>
    <w:rsid w:val="003006DF"/>
    <w:rsid w:val="003610C2"/>
    <w:rsid w:val="003955A2"/>
    <w:rsid w:val="003B1001"/>
    <w:rsid w:val="003D3197"/>
    <w:rsid w:val="003D356B"/>
    <w:rsid w:val="004053CE"/>
    <w:rsid w:val="004224DC"/>
    <w:rsid w:val="004252CA"/>
    <w:rsid w:val="004338CB"/>
    <w:rsid w:val="00437C06"/>
    <w:rsid w:val="004C18BC"/>
    <w:rsid w:val="004C749B"/>
    <w:rsid w:val="004D1584"/>
    <w:rsid w:val="004D2EA0"/>
    <w:rsid w:val="004D2FAA"/>
    <w:rsid w:val="00501367"/>
    <w:rsid w:val="00507A09"/>
    <w:rsid w:val="00560126"/>
    <w:rsid w:val="0056633E"/>
    <w:rsid w:val="0057184D"/>
    <w:rsid w:val="00574DF6"/>
    <w:rsid w:val="00597160"/>
    <w:rsid w:val="005B410D"/>
    <w:rsid w:val="005D1B1F"/>
    <w:rsid w:val="00626BDE"/>
    <w:rsid w:val="00665623"/>
    <w:rsid w:val="00683E66"/>
    <w:rsid w:val="006F6951"/>
    <w:rsid w:val="007256F1"/>
    <w:rsid w:val="007612F3"/>
    <w:rsid w:val="007635A9"/>
    <w:rsid w:val="00766F00"/>
    <w:rsid w:val="00767E38"/>
    <w:rsid w:val="00775238"/>
    <w:rsid w:val="007A3BE1"/>
    <w:rsid w:val="007A4398"/>
    <w:rsid w:val="007C626C"/>
    <w:rsid w:val="007C7AE6"/>
    <w:rsid w:val="007D071E"/>
    <w:rsid w:val="007E6406"/>
    <w:rsid w:val="007F735F"/>
    <w:rsid w:val="00851F76"/>
    <w:rsid w:val="00871E02"/>
    <w:rsid w:val="008758D9"/>
    <w:rsid w:val="00882B75"/>
    <w:rsid w:val="008B54BF"/>
    <w:rsid w:val="008C02CB"/>
    <w:rsid w:val="008E2F20"/>
    <w:rsid w:val="00900F20"/>
    <w:rsid w:val="00924CB2"/>
    <w:rsid w:val="00932C93"/>
    <w:rsid w:val="00936FFD"/>
    <w:rsid w:val="00951300"/>
    <w:rsid w:val="00952B06"/>
    <w:rsid w:val="00970536"/>
    <w:rsid w:val="00971E22"/>
    <w:rsid w:val="00974AD0"/>
    <w:rsid w:val="009A2B46"/>
    <w:rsid w:val="009A55AB"/>
    <w:rsid w:val="009B34D4"/>
    <w:rsid w:val="009D0B4B"/>
    <w:rsid w:val="009D596C"/>
    <w:rsid w:val="009F52D7"/>
    <w:rsid w:val="00A211CC"/>
    <w:rsid w:val="00A470DD"/>
    <w:rsid w:val="00A630E1"/>
    <w:rsid w:val="00A75582"/>
    <w:rsid w:val="00A859D3"/>
    <w:rsid w:val="00AB5027"/>
    <w:rsid w:val="00AD6271"/>
    <w:rsid w:val="00AF0FB4"/>
    <w:rsid w:val="00B0641C"/>
    <w:rsid w:val="00B5706E"/>
    <w:rsid w:val="00B749F7"/>
    <w:rsid w:val="00B8567C"/>
    <w:rsid w:val="00BA0B91"/>
    <w:rsid w:val="00BF4833"/>
    <w:rsid w:val="00C1785B"/>
    <w:rsid w:val="00C4502B"/>
    <w:rsid w:val="00C672B6"/>
    <w:rsid w:val="00C84FBE"/>
    <w:rsid w:val="00C94AC7"/>
    <w:rsid w:val="00CD0F63"/>
    <w:rsid w:val="00D023C8"/>
    <w:rsid w:val="00D24AF7"/>
    <w:rsid w:val="00DB6943"/>
    <w:rsid w:val="00DC19E0"/>
    <w:rsid w:val="00DC5D83"/>
    <w:rsid w:val="00DF1ED2"/>
    <w:rsid w:val="00DF7931"/>
    <w:rsid w:val="00E35583"/>
    <w:rsid w:val="00E5586A"/>
    <w:rsid w:val="00E73CEF"/>
    <w:rsid w:val="00E9138B"/>
    <w:rsid w:val="00E9141B"/>
    <w:rsid w:val="00E94EC4"/>
    <w:rsid w:val="00EE08F2"/>
    <w:rsid w:val="00F303BC"/>
    <w:rsid w:val="00F342CA"/>
    <w:rsid w:val="00F441E8"/>
    <w:rsid w:val="00FA6352"/>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B74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03629C"/>
    <w:pPr>
      <w:spacing w:after="180"/>
      <w:ind w:left="568" w:hanging="284"/>
      <w:jc w:val="left"/>
    </w:pPr>
    <w:rPr>
      <w:rFonts w:eastAsia="SimSun"/>
      <w:sz w:val="20"/>
      <w:szCs w:val="20"/>
      <w:lang w:val="en-GB"/>
    </w:rPr>
  </w:style>
  <w:style w:type="character" w:customStyle="1" w:styleId="B1Char">
    <w:name w:val="B1 Char"/>
    <w:link w:val="B1"/>
    <w:qFormat/>
    <w:rsid w:val="0003629C"/>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1170</Words>
  <Characters>6616</Characters>
  <Application>Microsoft Office Word</Application>
  <DocSecurity>0</DocSecurity>
  <Lines>827</Lines>
  <Paragraphs>389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2022-08-10T01:30:00Z</dcterms:created>
  <dcterms:modified xsi:type="dcterms:W3CDTF">2022-08-10T01:30:00Z</dcterms:modified>
</cp:coreProperties>
</file>